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Layout w:type="fixed"/>
        <w:tblCellMar>
          <w:top w:w="0" w:type="dxa"/>
          <w:left w:w="0" w:type="dxa"/>
          <w:bottom w:w="0" w:type="dxa"/>
          <w:right w:w="0" w:type="dxa"/>
        </w:tblCellMar>
      </w:tblPr>
      <w:tblGrid>
        <w:gridCol w:w="562"/>
        <w:gridCol w:w="1297"/>
        <w:gridCol w:w="590"/>
        <w:gridCol w:w="571"/>
        <w:gridCol w:w="1347"/>
        <w:gridCol w:w="1109"/>
        <w:gridCol w:w="24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810"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ascii="仿宋_GB2312" w:hAnsi="宋体" w:eastAsia="仿宋_GB2312" w:cs="宋体"/>
                <w:b/>
                <w:color w:val="000000"/>
                <w:kern w:val="0"/>
                <w:sz w:val="24"/>
                <w:szCs w:val="24"/>
                <w:bdr w:val="none" w:color="auto" w:sz="0" w:space="0"/>
                <w:lang w:val="en-US" w:eastAsia="zh-CN" w:bidi="ar"/>
              </w:rPr>
              <w:t>序号</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宋体"/>
                <w:b/>
                <w:color w:val="000000"/>
                <w:kern w:val="0"/>
                <w:sz w:val="24"/>
                <w:szCs w:val="24"/>
                <w:bdr w:val="none" w:color="auto" w:sz="0" w:space="0"/>
                <w:lang w:val="en-US" w:eastAsia="zh-CN" w:bidi="ar"/>
              </w:rPr>
              <w:t>招聘岗位</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宋体"/>
                <w:b/>
                <w:color w:val="000000"/>
                <w:kern w:val="0"/>
                <w:sz w:val="24"/>
                <w:szCs w:val="24"/>
                <w:bdr w:val="none" w:color="auto" w:sz="0" w:space="0"/>
                <w:lang w:val="en-US" w:eastAsia="zh-CN" w:bidi="ar"/>
              </w:rPr>
              <w:t>岗位</w:t>
            </w:r>
          </w:p>
          <w:p>
            <w:pPr>
              <w:keepNext w:val="0"/>
              <w:keepLines w:val="0"/>
              <w:widowControl/>
              <w:suppressLineNumbers w:val="0"/>
              <w:spacing w:before="0" w:beforeAutospacing="1" w:after="0" w:afterAutospacing="1"/>
              <w:ind w:left="0" w:right="0"/>
              <w:jc w:val="center"/>
            </w:pPr>
            <w:r>
              <w:rPr>
                <w:rFonts w:hint="default" w:ascii="仿宋_GB2312" w:hAnsi="宋体" w:eastAsia="仿宋_GB2312" w:cs="宋体"/>
                <w:b/>
                <w:color w:val="000000"/>
                <w:kern w:val="0"/>
                <w:sz w:val="24"/>
                <w:szCs w:val="24"/>
                <w:bdr w:val="none" w:color="auto" w:sz="0" w:space="0"/>
                <w:lang w:val="en-US" w:eastAsia="zh-CN" w:bidi="ar"/>
              </w:rPr>
              <w:t>类别</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宋体"/>
                <w:b/>
                <w:color w:val="000000"/>
                <w:kern w:val="0"/>
                <w:sz w:val="24"/>
                <w:szCs w:val="24"/>
                <w:bdr w:val="none" w:color="auto" w:sz="0" w:space="0"/>
                <w:lang w:val="en-US" w:eastAsia="zh-CN" w:bidi="ar"/>
              </w:rPr>
              <w:t>招聘人数</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宋体"/>
                <w:b/>
                <w:color w:val="000000"/>
                <w:kern w:val="0"/>
                <w:sz w:val="24"/>
                <w:szCs w:val="24"/>
                <w:bdr w:val="none" w:color="auto" w:sz="0" w:space="0"/>
                <w:lang w:val="en-US" w:eastAsia="zh-CN" w:bidi="ar"/>
              </w:rPr>
              <w:t>所需专业</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宋体"/>
                <w:b/>
                <w:color w:val="000000"/>
                <w:kern w:val="0"/>
                <w:sz w:val="24"/>
                <w:szCs w:val="24"/>
                <w:bdr w:val="none" w:color="auto" w:sz="0" w:space="0"/>
                <w:lang w:val="en-US" w:eastAsia="zh-CN" w:bidi="ar"/>
              </w:rPr>
              <w:t>学历/学位</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仿宋_GB2312" w:hAnsi="宋体" w:eastAsia="仿宋_GB2312" w:cs="宋体"/>
                <w:b/>
                <w:color w:val="000000"/>
                <w:kern w:val="0"/>
                <w:sz w:val="24"/>
                <w:szCs w:val="24"/>
                <w:bdr w:val="none" w:color="auto" w:sz="0" w:space="0"/>
                <w:lang w:val="en-US" w:eastAsia="zh-CN" w:bidi="ar"/>
              </w:rPr>
              <w:t>其他要求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林业技术专业教师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林学类、植物学</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园林专业教师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园林植物与观赏园艺、风景园林学</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3</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绿色食品生产与检验专业教师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食品科学与工程类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本科为食品科学与工程专业、食品质量与安全专业。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4</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工程造价专业教师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建筑学类、土木工程类、管理科学与工程</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1.“双一流”大学可放宽至本科；2.具有副高及以上职称，学历可放宽至本科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5</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建筑工程技术专业教师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建筑学类、土木工程类、管理科学与工程</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“双一流”大学可放宽至本科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6</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建筑室内设计专业教师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设计学（可授艺术学、工学学位）</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7</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机电一体化专业教师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电气工程类、机械工程类、控制科学与工程类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研究生/博士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8</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工业机器人专业教师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电气工程类、机械工程类、控制科学与工程类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研究生/博士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9</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机电一体化专业教师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电气工程类、机械工程类、控制科学与工程类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“双一流”大学可放宽至本科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10</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工业机器人专业教师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电气工程类、机械工程类、控制科学与工程类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“双一流”大学可放宽至本科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11</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模具设计与制造专业教师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机械制造及其自动化、机械电子工程、机械设计及理论</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“双一流”大学可放宽至本科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12</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机电一体化专业、工业机器人专业实训指导教师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电气工程类、机械工程类、控制科学与工程类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双一流”大学可放宽至本科；对获得中华技能大奖、全国技术能手荣誉称号或省级技能大奖、技术能手荣誉称号，享受国务院或省政府特殊津贴、国家级或省级技能大师工作室带头人、获得省部级以上劳动模范表彰的高技能人才以及世界技能大赛国家集训选手和中国技能大赛优秀选手（国家级一类大赛前20名，国家级二类竞赛前15名；省级一类大赛前5名，省级二类大赛前3名）可放宽至专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8"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13</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数控专业实训指导教师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电气工程类、机械工程类、控制科学与工程类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双一流”大学可放宽至本科；对获得中华技能大奖、全国技术能手荣誉称号或省级技能大奖、技术能手荣誉称号，享受国务院或省政府特殊津贴、国家级或省级技能大师工作室带头人、获得省部级以上劳动模范表彰的高技能人才以及世界技能大赛国家集训选手和中国技能大赛优秀选手（国家级一类大赛前20名，国家级二类竞赛前15名；省级一类大赛前5名，省级二类大赛前3名）可放宽至专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14</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思政专业教师1</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哲学类、政治学类、历史学类、马克思主义理论类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中共党员（含中共预备党员）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15</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思政专业教师2</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专业不限</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1.中共党员；</w:t>
            </w:r>
          </w:p>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2.具有高校学生思想政治教育副高及以上专业技术职务；学历可放宽至本科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16</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投资与理财专业教师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经济学类</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17</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会计专业教师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 xml:space="preserve">管理科学与工程、工商管理类 </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18</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计算机类专业教师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 xml:space="preserve">计算机科学与技术类、软件工程 </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bdr w:val="none" w:color="auto" w:sz="0" w:space="0"/>
                <w:lang w:val="en-US" w:eastAsia="zh-CN" w:bidi="ar"/>
              </w:rPr>
              <w:t>1.本科为计算机类专业；</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bdr w:val="none" w:color="auto" w:sz="0" w:space="0"/>
                <w:lang w:val="en-US" w:eastAsia="zh-CN" w:bidi="ar"/>
              </w:rPr>
              <w:t xml:space="preserve">2.“双一流”大学可放宽至本科；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bdr w:val="none" w:color="auto" w:sz="0" w:space="0"/>
                <w:lang w:val="en-US" w:eastAsia="zh-CN" w:bidi="ar"/>
              </w:rPr>
              <w:t xml:space="preserve">3.具有IT行业认证资质且具有项目经历的技术人员的本科和研究生专业不限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19</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文秘专业教师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翻译</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具有三年以上与职业教育相关的工作经历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20</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社会体育专业教师</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 xml:space="preserve"> 体育教育训练学</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1.篮球方向或篮球专业运动员；2.本科为体育相关专业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21</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旅游管理专业教师1</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旅游管理</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22</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旅游管理专业教师2</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旅游管理</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具有三年以上与职业教育相关的工作经历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23</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音乐表演专业教师1</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 xml:space="preserve"> 音乐学</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要求声乐表演方向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24</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音乐表演专业教师2</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 xml:space="preserve"> 音乐学</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具有三年以上与职业教育相关的工作经历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25</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生态与经济学院专业教师1</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专业不限</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26</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生态与经济学院专业教师2</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专业不限</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27</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生态与经济学院专业教师3</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工商管理类、教育经济与管理</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具有三年以上与职业教育相关的工作经历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28</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信息安全与网络管理</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计算机科学与技术、软件工程</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29</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审计</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会计学</w:t>
            </w:r>
          </w:p>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（审计方向）</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30</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会计</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会计学</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1.“双一流”大学可放宽至本科；2.具有副高及以上职称，学历可放宽至本科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31</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人事管理</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专业不限</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32</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宣传部</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专业不限</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33</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大花园建设研究院</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6</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专业不限</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 xml:space="preserve"> 要求三名男性、三名女性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6" w:hRule="atLeast"/>
          <w:jc w:val="center"/>
        </w:trPr>
        <w:tc>
          <w:tcPr>
            <w:tcW w:w="70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34</w:t>
            </w:r>
          </w:p>
        </w:tc>
        <w:tc>
          <w:tcPr>
            <w:tcW w:w="162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内科医生</w:t>
            </w:r>
          </w:p>
        </w:tc>
        <w:tc>
          <w:tcPr>
            <w:tcW w:w="73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专业技术</w:t>
            </w:r>
          </w:p>
        </w:tc>
        <w:tc>
          <w:tcPr>
            <w:tcW w:w="7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1</w:t>
            </w:r>
          </w:p>
        </w:tc>
        <w:tc>
          <w:tcPr>
            <w:tcW w:w="16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 xml:space="preserve">临床医学 </w:t>
            </w:r>
          </w:p>
        </w:tc>
        <w:tc>
          <w:tcPr>
            <w:tcW w:w="13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kern w:val="0"/>
                <w:sz w:val="24"/>
                <w:szCs w:val="21"/>
                <w:bdr w:val="none" w:color="auto" w:sz="0" w:space="0"/>
                <w:lang w:val="en-US" w:eastAsia="zh-CN" w:bidi="ar"/>
              </w:rPr>
              <w:t>研究生/硕士</w:t>
            </w:r>
          </w:p>
        </w:tc>
        <w:tc>
          <w:tcPr>
            <w:tcW w:w="308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kern w:val="0"/>
                <w:sz w:val="24"/>
                <w:szCs w:val="21"/>
                <w:bdr w:val="none" w:color="auto" w:sz="0" w:space="0"/>
                <w:lang w:val="en-US" w:eastAsia="zh-CN" w:bidi="ar"/>
              </w:rPr>
              <w:t>具有内科执业医师资格，具有副高及以上职称，学历可放宽至本科</w:t>
            </w:r>
          </w:p>
        </w:tc>
      </w:tr>
    </w:tbl>
    <w:p>
      <w:pPr>
        <w:keepNext w:val="0"/>
        <w:keepLines w:val="0"/>
        <w:widowControl/>
        <w:suppressLineNumbers w:val="0"/>
        <w:spacing w:before="0" w:beforeAutospacing="1" w:after="0" w:afterAutospacing="1" w:line="600" w:lineRule="exact"/>
        <w:ind w:left="0" w:right="0" w:firstLine="480" w:firstLineChars="200"/>
        <w:jc w:val="left"/>
      </w:pPr>
      <w:r>
        <w:rPr>
          <w:rFonts w:asciiTheme="minorHAnsi" w:hAnsiTheme="minorHAnsi" w:eastAsiaTheme="minorEastAsia" w:cstheme="minorBidi"/>
          <w:kern w:val="0"/>
          <w:sz w:val="24"/>
          <w:szCs w:val="24"/>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22D33"/>
    <w:rsid w:val="2AC17C99"/>
    <w:rsid w:val="37022D33"/>
    <w:rsid w:val="785D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666666"/>
      <w:u w:val="none"/>
    </w:rPr>
  </w:style>
  <w:style w:type="character" w:styleId="5">
    <w:name w:val="Hyperlink"/>
    <w:basedOn w:val="3"/>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2020-04-17T05:57:00Z</dcterms:created>
  <dc:creator>ぺ灬cc果冻ル</dc:creator>
  <cp:lastModifiedBy>ぺ灬cc果冻ル</cp:lastModifiedBy>
  <dcterms:modified xsi:type="dcterms:W3CDTF">2020-04-17T06:01:16Z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