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eastAsia="zh-CN"/>
        </w:rPr>
        <w:t>视同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高校毕业生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方正小标宋简体" w:cs="Times New Roman"/>
          <w:sz w:val="32"/>
          <w:szCs w:val="32"/>
          <w:highlight w:val="none"/>
        </w:rPr>
        <w:t>未落实工作单位条件承诺书</w:t>
      </w:r>
      <w:bookmarkEnd w:id="0"/>
    </w:p>
    <w:p>
      <w:pPr>
        <w:spacing w:line="480" w:lineRule="exact"/>
        <w:jc w:val="center"/>
        <w:rPr>
          <w:rFonts w:hint="default" w:ascii="Times New Roman" w:hAnsi="Times New Roman" w:cs="Times New Roman"/>
          <w:highlight w:val="none"/>
        </w:rPr>
      </w:pPr>
    </w:p>
    <w:p>
      <w:pPr>
        <w:spacing w:line="4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本人：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。报考202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年衢州市衢江区事业单位公开招聘工作人员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岗位，岗位代码：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全日制普通高校毕业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，且在国家就业政策规定的择业期内未落实工作单位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初次就业求职期相当的留学人员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2020年10月后毕业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列入国家统招计划，由培养学校统一进行就业推荐和毕业派遣，按培养计划于2021年毕业，有初次就业需求的非全日制研究生（不含在职攻读学历学位人员）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，相关情况如下：</w:t>
      </w:r>
    </w:p>
    <w:tbl>
      <w:tblPr>
        <w:tblStyle w:val="4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263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5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sz w:val="30"/>
                <w:szCs w:val="30"/>
                <w:highlight w:val="none"/>
              </w:rPr>
              <w:t>证明材料或相关情况说明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5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毕业证书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教育部学籍在线验证报告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5263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就业协议书未签或签后依规撤销，并提供本人就业协议书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5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截止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，人事档案仍保留在毕业学校或各级人才中心、就业指导中心、公共就业服务机构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5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截止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日，无社保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缴纳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记录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，并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提供户籍所在地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无社保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缴纳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记录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证明。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851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</w:tbl>
    <w:p>
      <w:pPr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本人郑重承诺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，材料和情况属实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，如有弄虚作假，自愿接受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《事业单位公开招聘违纪违规行为处理规定》(人社部令第35号)作出的违纪违规处理结果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，并取消聘用资格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应聘人员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签字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：                   时间：</w:t>
      </w:r>
    </w:p>
    <w:p/>
    <w:sectPr>
      <w:pgSz w:w="11906" w:h="16838"/>
      <w:pgMar w:top="1157" w:right="1519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C542E"/>
    <w:rsid w:val="5C6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2021-03-25T05:50:00Z</dcterms:created>
  <dc:creator>小沈</dc:creator>
  <cp:lastModifiedBy>小沈</cp:lastModifiedBy>
  <dcterms:modified xsi:type="dcterms:W3CDTF">2021-03-25T05:51:35Z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