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tLeast"/>
        <w:rPr>
          <w:rFonts w:ascii="仿宋" w:hAnsi="仿宋" w:eastAsia="仿宋" w:cs="宋体"/>
          <w:kern w:val="0"/>
          <w:sz w:val="30"/>
          <w:szCs w:val="30"/>
        </w:rPr>
      </w:pPr>
      <w:r>
        <w:rPr>
          <w:rFonts w:hint="eastAsia" w:ascii="仿宋" w:hAnsi="仿宋" w:eastAsia="仿宋" w:cs="宋体"/>
          <w:kern w:val="0"/>
          <w:sz w:val="30"/>
          <w:szCs w:val="30"/>
        </w:rPr>
        <w:t>附件2</w:t>
      </w:r>
    </w:p>
    <w:p>
      <w:pPr>
        <w:widowControl/>
        <w:spacing w:line="560" w:lineRule="exact"/>
        <w:jc w:val="center"/>
        <w:rPr>
          <w:rFonts w:ascii="方正小标宋简体" w:hAnsi="微软雅黑" w:eastAsia="方正小标宋简体" w:cs="宋体"/>
          <w:kern w:val="0"/>
          <w:sz w:val="40"/>
          <w:szCs w:val="18"/>
        </w:rPr>
      </w:pPr>
      <w:r>
        <w:rPr>
          <w:rFonts w:hint="eastAsia" w:ascii="方正小标宋简体" w:hAnsi="微软雅黑" w:eastAsia="方正小标宋简体" w:cs="宋体"/>
          <w:kern w:val="0"/>
          <w:sz w:val="40"/>
          <w:szCs w:val="18"/>
        </w:rPr>
        <w:t>20</w:t>
      </w:r>
      <w:r>
        <w:rPr>
          <w:rFonts w:ascii="方正小标宋简体" w:hAnsi="微软雅黑" w:eastAsia="方正小标宋简体" w:cs="宋体"/>
          <w:kern w:val="0"/>
          <w:sz w:val="40"/>
          <w:szCs w:val="18"/>
        </w:rPr>
        <w:t>21</w:t>
      </w:r>
      <w:r>
        <w:rPr>
          <w:rFonts w:hint="eastAsia" w:ascii="方正小标宋简体" w:hAnsi="微软雅黑" w:eastAsia="方正小标宋简体" w:cs="宋体"/>
          <w:kern w:val="0"/>
          <w:sz w:val="40"/>
          <w:szCs w:val="18"/>
        </w:rPr>
        <w:t>年</w:t>
      </w:r>
      <w:r>
        <w:rPr>
          <w:rFonts w:hint="eastAsia" w:ascii="方正小标宋简体" w:hAnsi="微软雅黑" w:eastAsia="方正小标宋简体" w:cs="宋体"/>
          <w:kern w:val="0"/>
          <w:sz w:val="40"/>
          <w:szCs w:val="18"/>
          <w:lang w:val="en-US" w:eastAsia="zh-CN"/>
        </w:rPr>
        <w:t>龙港市</w:t>
      </w:r>
      <w:r>
        <w:rPr>
          <w:rFonts w:hint="eastAsia" w:ascii="方正小标宋简体" w:hAnsi="微软雅黑" w:eastAsia="方正小标宋简体" w:cs="宋体"/>
          <w:kern w:val="0"/>
          <w:sz w:val="40"/>
          <w:szCs w:val="18"/>
        </w:rPr>
        <w:t>公开招聘事业单位工作人员专业资格审查办法</w:t>
      </w:r>
    </w:p>
    <w:p>
      <w:pPr>
        <w:widowControl/>
        <w:spacing w:line="560" w:lineRule="exact"/>
        <w:ind w:firstLine="560" w:firstLineChars="200"/>
        <w:jc w:val="left"/>
        <w:rPr>
          <w:rFonts w:ascii="仿宋_GB2312" w:hAnsi="微软雅黑" w:eastAsia="仿宋_GB2312" w:cs="宋体"/>
          <w:kern w:val="0"/>
          <w:sz w:val="28"/>
          <w:szCs w:val="28"/>
        </w:rPr>
      </w:pPr>
    </w:p>
    <w:p>
      <w:pPr>
        <w:widowControl/>
        <w:spacing w:line="560" w:lineRule="exact"/>
        <w:ind w:firstLine="560" w:firstLineChars="200"/>
        <w:jc w:val="left"/>
        <w:rPr>
          <w:rFonts w:ascii="仿宋_GB2312" w:hAnsi="微软雅黑" w:eastAsia="仿宋_GB2312" w:cs="宋体"/>
          <w:kern w:val="0"/>
          <w:sz w:val="28"/>
          <w:szCs w:val="28"/>
        </w:rPr>
      </w:pPr>
      <w:r>
        <w:rPr>
          <w:rFonts w:hint="eastAsia" w:ascii="仿宋_GB2312" w:hAnsi="微软雅黑" w:eastAsia="仿宋_GB2312" w:cs="宋体"/>
          <w:kern w:val="0"/>
          <w:sz w:val="28"/>
          <w:szCs w:val="28"/>
        </w:rPr>
        <w:t>20</w:t>
      </w:r>
      <w:r>
        <w:rPr>
          <w:rFonts w:ascii="仿宋_GB2312" w:hAnsi="微软雅黑" w:eastAsia="仿宋_GB2312" w:cs="宋体"/>
          <w:kern w:val="0"/>
          <w:sz w:val="28"/>
          <w:szCs w:val="28"/>
        </w:rPr>
        <w:t>21</w:t>
      </w:r>
      <w:r>
        <w:rPr>
          <w:rFonts w:hint="eastAsia" w:ascii="仿宋_GB2312" w:hAnsi="微软雅黑" w:eastAsia="仿宋_GB2312" w:cs="宋体"/>
          <w:kern w:val="0"/>
          <w:sz w:val="28"/>
          <w:szCs w:val="28"/>
        </w:rPr>
        <w:t>年</w:t>
      </w:r>
      <w:r>
        <w:rPr>
          <w:rFonts w:hint="eastAsia" w:ascii="仿宋_GB2312" w:hAnsi="微软雅黑" w:eastAsia="仿宋_GB2312" w:cs="宋体"/>
          <w:kern w:val="0"/>
          <w:sz w:val="28"/>
          <w:szCs w:val="28"/>
          <w:lang w:val="en-US" w:eastAsia="zh-CN"/>
        </w:rPr>
        <w:t>龙港市</w:t>
      </w:r>
      <w:r>
        <w:rPr>
          <w:rFonts w:hint="eastAsia" w:ascii="仿宋_GB2312" w:hAnsi="微软雅黑" w:eastAsia="仿宋_GB2312" w:cs="宋体"/>
          <w:kern w:val="0"/>
          <w:sz w:val="28"/>
          <w:szCs w:val="28"/>
        </w:rPr>
        <w:t>公开招聘事业单位工作人员报考人员专业资格按以下办法进行审查：</w:t>
      </w:r>
    </w:p>
    <w:p>
      <w:pPr>
        <w:widowControl/>
        <w:numPr>
          <w:ilvl w:val="0"/>
          <w:numId w:val="1"/>
        </w:numPr>
        <w:spacing w:line="560" w:lineRule="exact"/>
        <w:ind w:firstLine="560" w:firstLineChars="200"/>
        <w:jc w:val="left"/>
        <w:rPr>
          <w:rFonts w:hint="eastAsia" w:ascii="仿宋_GB2312" w:hAnsi="微软雅黑" w:eastAsia="仿宋_GB2312" w:cs="宋体"/>
          <w:kern w:val="0"/>
          <w:sz w:val="28"/>
          <w:szCs w:val="28"/>
        </w:rPr>
      </w:pPr>
      <w:r>
        <w:rPr>
          <w:rFonts w:hint="eastAsia" w:ascii="仿宋_GB2312" w:hAnsi="微软雅黑" w:eastAsia="仿宋_GB2312" w:cs="宋体"/>
          <w:kern w:val="0"/>
          <w:sz w:val="28"/>
          <w:szCs w:val="28"/>
        </w:rPr>
        <w:t>资格审核办法由招聘单位及其主管部门参考高校专业设置目录进行审查认定，大学专科专业参考《普通高等学校高等职业教育（专科）专业目录（2015年）》；</w:t>
      </w:r>
      <w:r>
        <w:rPr>
          <w:rFonts w:hint="eastAsia" w:ascii="仿宋_GB2312" w:hAnsi="微软雅黑" w:eastAsia="仿宋_GB2312" w:cs="宋体"/>
          <w:kern w:val="0"/>
          <w:sz w:val="28"/>
          <w:szCs w:val="28"/>
          <w:lang w:val="en-US" w:eastAsia="zh-CN"/>
        </w:rPr>
        <w:t>大</w:t>
      </w:r>
      <w:r>
        <w:rPr>
          <w:rFonts w:hint="eastAsia" w:ascii="仿宋_GB2312" w:hAnsi="微软雅黑" w:eastAsia="仿宋_GB2312" w:cs="宋体"/>
          <w:kern w:val="0"/>
          <w:sz w:val="28"/>
          <w:szCs w:val="28"/>
        </w:rPr>
        <w:t>学本科专业参考《普通高等学校本科专业目录（2012年）》、《普通高等学校本科专业目录新旧专业对照表》；研究生专业参考《授予博士、硕士学位和培养研究生的学科、专业目录》（2011年）。各招聘岗位按照20</w:t>
      </w:r>
      <w:r>
        <w:rPr>
          <w:rFonts w:ascii="仿宋_GB2312" w:hAnsi="微软雅黑" w:eastAsia="仿宋_GB2312" w:cs="宋体"/>
          <w:kern w:val="0"/>
          <w:sz w:val="28"/>
          <w:szCs w:val="28"/>
        </w:rPr>
        <w:t>21</w:t>
      </w:r>
      <w:r>
        <w:rPr>
          <w:rFonts w:hint="eastAsia" w:ascii="仿宋_GB2312" w:hAnsi="微软雅黑" w:eastAsia="仿宋_GB2312" w:cs="宋体"/>
          <w:kern w:val="0"/>
          <w:sz w:val="28"/>
          <w:szCs w:val="28"/>
        </w:rPr>
        <w:t>年</w:t>
      </w:r>
      <w:r>
        <w:rPr>
          <w:rFonts w:hint="eastAsia" w:ascii="仿宋_GB2312" w:hAnsi="微软雅黑" w:eastAsia="仿宋_GB2312" w:cs="宋体"/>
          <w:kern w:val="0"/>
          <w:sz w:val="28"/>
          <w:szCs w:val="28"/>
          <w:lang w:val="en-US" w:eastAsia="zh-CN"/>
        </w:rPr>
        <w:t>龙港市</w:t>
      </w:r>
      <w:r>
        <w:rPr>
          <w:rFonts w:hint="eastAsia" w:ascii="仿宋_GB2312" w:hAnsi="微软雅黑" w:eastAsia="仿宋_GB2312" w:cs="宋体"/>
          <w:kern w:val="0"/>
          <w:sz w:val="28"/>
          <w:szCs w:val="28"/>
        </w:rPr>
        <w:t>公开招聘事业单位工作人员计划一览表中的专业要求进行审查，报考人员必须符合招聘岗位规定的专业要求方可报考。</w:t>
      </w:r>
    </w:p>
    <w:p>
      <w:pPr>
        <w:widowControl/>
        <w:spacing w:line="560" w:lineRule="exact"/>
        <w:ind w:firstLine="560" w:firstLineChars="200"/>
        <w:jc w:val="left"/>
        <w:rPr>
          <w:rFonts w:ascii="仿宋_GB2312" w:hAnsi="微软雅黑" w:eastAsia="仿宋_GB2312" w:cs="宋体"/>
          <w:kern w:val="0"/>
          <w:sz w:val="28"/>
          <w:szCs w:val="28"/>
        </w:rPr>
      </w:pPr>
      <w:r>
        <w:rPr>
          <w:rFonts w:hint="eastAsia" w:ascii="仿宋_GB2312" w:hAnsi="微软雅黑" w:eastAsia="仿宋_GB2312" w:cs="宋体"/>
          <w:kern w:val="0"/>
          <w:sz w:val="28"/>
          <w:szCs w:val="28"/>
        </w:rPr>
        <w:t>二、关于“专业要求”的说明：本科专业参照教育部《普通高等学校本科专业目录（2012年）》的划分，按“学科门类”、“专业类”和“专业”三个层次分别表述，所涵盖的专业范围各不相同。按“学科门类”表述的，如“经济学门类”，表示该学科门类下设的所有专业均可报考；按“专业类”表述的，如“中国语言文学类”，表示该专业类下设的所有专业均可报考；按具体“专业名称”表述的，表示仅限所列专业报考。</w:t>
      </w:r>
    </w:p>
    <w:p>
      <w:pPr>
        <w:widowControl/>
        <w:spacing w:line="560" w:lineRule="exact"/>
        <w:ind w:firstLine="560" w:firstLineChars="200"/>
        <w:jc w:val="left"/>
        <w:rPr>
          <w:rFonts w:ascii="仿宋_GB2312" w:hAnsi="宋体" w:eastAsia="仿宋_GB2312" w:cs="宋体"/>
          <w:kern w:val="0"/>
          <w:sz w:val="28"/>
          <w:szCs w:val="28"/>
        </w:rPr>
      </w:pPr>
      <w:r>
        <w:rPr>
          <w:rFonts w:hint="eastAsia" w:ascii="仿宋_GB2312" w:hAnsi="微软雅黑" w:eastAsia="仿宋_GB2312" w:cs="宋体"/>
          <w:kern w:val="0"/>
          <w:sz w:val="28"/>
          <w:szCs w:val="28"/>
        </w:rPr>
        <w:t>三、招聘岗位要求的专业明确的,招聘单位按所明确的专业进行审查，招聘岗位要求的专业为学科门类的，按照上述专业目录中对应的学科门类专业进行审查。</w:t>
      </w:r>
    </w:p>
    <w:p>
      <w:pPr>
        <w:widowControl/>
        <w:spacing w:line="560" w:lineRule="exact"/>
        <w:ind w:firstLine="560" w:firstLineChars="200"/>
        <w:rPr>
          <w:rFonts w:ascii="仿宋_GB2312" w:hAnsi="微软雅黑" w:eastAsia="仿宋_GB2312" w:cs="宋体"/>
          <w:kern w:val="0"/>
          <w:sz w:val="28"/>
          <w:szCs w:val="28"/>
        </w:rPr>
      </w:pPr>
      <w:r>
        <w:rPr>
          <w:rFonts w:hint="eastAsia" w:ascii="仿宋_GB2312" w:hAnsi="微软雅黑" w:eastAsia="仿宋_GB2312" w:cs="宋体"/>
          <w:kern w:val="0"/>
          <w:sz w:val="28"/>
          <w:szCs w:val="28"/>
        </w:rPr>
        <w:t>四、为保证本次公开招聘工作的公平性，避免争议，目录中未列入的专业或各高校新设专业不列入本次公开招聘专业范围</w:t>
      </w:r>
      <w:bookmarkStart w:id="0" w:name="_GoBack"/>
      <w:bookmarkEnd w:id="0"/>
      <w:r>
        <w:rPr>
          <w:rFonts w:hint="eastAsia" w:ascii="仿宋_GB2312" w:hAnsi="微软雅黑" w:eastAsia="仿宋_GB2312" w:cs="宋体"/>
          <w:kern w:val="0"/>
          <w:sz w:val="28"/>
          <w:szCs w:val="28"/>
        </w:rPr>
        <w:t>。</w:t>
      </w:r>
    </w:p>
    <w:p>
      <w:pPr>
        <w:widowControl/>
        <w:spacing w:line="560" w:lineRule="exact"/>
        <w:ind w:firstLine="560" w:firstLineChars="200"/>
        <w:jc w:val="left"/>
        <w:rPr>
          <w:rFonts w:ascii="仿宋_GB2312" w:hAnsi="微软雅黑" w:eastAsia="仿宋_GB2312" w:cs="宋体"/>
          <w:kern w:val="0"/>
          <w:sz w:val="28"/>
          <w:szCs w:val="28"/>
        </w:rPr>
      </w:pPr>
      <w:r>
        <w:rPr>
          <w:rFonts w:hint="eastAsia" w:ascii="仿宋_GB2312" w:hAnsi="微软雅黑" w:eastAsia="仿宋_GB2312" w:cs="宋体"/>
          <w:kern w:val="0"/>
          <w:sz w:val="28"/>
          <w:szCs w:val="28"/>
        </w:rPr>
        <w:t>五、本办法未尽事宜，由</w:t>
      </w:r>
      <w:r>
        <w:rPr>
          <w:rFonts w:hint="eastAsia" w:ascii="仿宋_GB2312" w:hAnsi="微软雅黑" w:eastAsia="仿宋_GB2312" w:cs="宋体"/>
          <w:kern w:val="0"/>
          <w:sz w:val="28"/>
          <w:szCs w:val="28"/>
          <w:lang w:val="en-US" w:eastAsia="zh-CN"/>
        </w:rPr>
        <w:t>中共龙港市委组织部</w:t>
      </w:r>
      <w:r>
        <w:rPr>
          <w:rFonts w:hint="eastAsia" w:ascii="仿宋_GB2312" w:hAnsi="微软雅黑" w:eastAsia="仿宋_GB2312" w:cs="宋体"/>
          <w:kern w:val="0"/>
          <w:sz w:val="28"/>
          <w:szCs w:val="28"/>
        </w:rPr>
        <w:t>会同招聘单位及其主管部门研究确定。</w:t>
      </w:r>
    </w:p>
    <w:p>
      <w:pPr>
        <w:widowControl/>
        <w:spacing w:line="560" w:lineRule="exact"/>
        <w:jc w:val="left"/>
        <w:rPr>
          <w:rFonts w:ascii="仿宋_GB2312" w:hAnsi="微软雅黑" w:eastAsia="仿宋_GB2312" w:cs="宋体"/>
          <w:kern w:val="0"/>
          <w:sz w:val="28"/>
          <w:szCs w:val="28"/>
        </w:rPr>
      </w:pPr>
    </w:p>
    <w:p>
      <w:pPr>
        <w:widowControl/>
        <w:spacing w:line="560" w:lineRule="exact"/>
        <w:ind w:firstLine="198"/>
        <w:jc w:val="left"/>
        <w:rPr>
          <w:rFonts w:ascii="仿宋_GB2312" w:hAnsi="微软雅黑" w:eastAsia="仿宋_GB2312" w:cs="宋体"/>
          <w:kern w:val="0"/>
          <w:sz w:val="28"/>
          <w:szCs w:val="28"/>
        </w:rPr>
      </w:pPr>
    </w:p>
    <w:p>
      <w:pPr>
        <w:widowControl/>
        <w:spacing w:line="560" w:lineRule="exact"/>
        <w:ind w:firstLine="198"/>
        <w:jc w:val="left"/>
        <w:rPr>
          <w:rFonts w:ascii="仿宋_GB2312" w:hAnsi="微软雅黑" w:eastAsia="仿宋_GB2312" w:cs="宋体"/>
          <w:kern w:val="0"/>
          <w:sz w:val="28"/>
          <w:szCs w:val="28"/>
        </w:rPr>
      </w:pPr>
      <w:r>
        <w:rPr>
          <w:rFonts w:hint="eastAsia" w:ascii="仿宋_GB2312" w:hAnsi="微软雅黑" w:eastAsia="仿宋_GB2312" w:cs="宋体"/>
          <w:kern w:val="0"/>
          <w:sz w:val="28"/>
          <w:szCs w:val="28"/>
        </w:rPr>
        <w:t>附：1.</w:t>
      </w:r>
      <w:r>
        <w:rPr>
          <w:rFonts w:hint="eastAsia"/>
        </w:rPr>
        <w:t xml:space="preserve"> </w:t>
      </w:r>
      <w:r>
        <w:rPr>
          <w:rFonts w:hint="eastAsia" w:ascii="仿宋_GB2312" w:hAnsi="微软雅黑" w:eastAsia="仿宋_GB2312" w:cs="宋体"/>
          <w:kern w:val="0"/>
          <w:sz w:val="28"/>
          <w:szCs w:val="28"/>
        </w:rPr>
        <w:t>《普通高等学校高等职业教育（专科）专业目录（</w:t>
      </w:r>
      <w:r>
        <w:rPr>
          <w:rFonts w:ascii="仿宋_GB2312" w:hAnsi="微软雅黑" w:eastAsia="仿宋_GB2312" w:cs="宋体"/>
          <w:kern w:val="0"/>
          <w:sz w:val="28"/>
          <w:szCs w:val="28"/>
        </w:rPr>
        <w:t>2015</w:t>
      </w:r>
    </w:p>
    <w:p>
      <w:pPr>
        <w:widowControl/>
        <w:spacing w:line="560" w:lineRule="exact"/>
        <w:ind w:firstLine="1120" w:firstLineChars="400"/>
        <w:jc w:val="left"/>
        <w:rPr>
          <w:rFonts w:ascii="仿宋_GB2312" w:hAnsi="微软雅黑" w:eastAsia="仿宋_GB2312" w:cs="宋体"/>
          <w:kern w:val="0"/>
          <w:sz w:val="28"/>
          <w:szCs w:val="28"/>
        </w:rPr>
      </w:pPr>
      <w:r>
        <w:rPr>
          <w:rFonts w:ascii="仿宋_GB2312" w:hAnsi="微软雅黑" w:eastAsia="仿宋_GB2312" w:cs="宋体"/>
          <w:kern w:val="0"/>
          <w:sz w:val="28"/>
          <w:szCs w:val="28"/>
        </w:rPr>
        <w:t>年）》</w:t>
      </w:r>
    </w:p>
    <w:p>
      <w:pPr>
        <w:widowControl/>
        <w:spacing w:line="560" w:lineRule="exact"/>
        <w:ind w:firstLine="708" w:firstLineChars="253"/>
        <w:jc w:val="left"/>
        <w:rPr>
          <w:rFonts w:hint="eastAsia" w:ascii="仿宋_GB2312" w:hAnsi="微软雅黑" w:eastAsia="仿宋_GB2312" w:cs="宋体"/>
          <w:kern w:val="0"/>
          <w:sz w:val="28"/>
          <w:szCs w:val="28"/>
        </w:rPr>
      </w:pPr>
      <w:r>
        <w:rPr>
          <w:rFonts w:hint="eastAsia" w:ascii="仿宋_GB2312" w:hAnsi="微软雅黑" w:eastAsia="仿宋_GB2312" w:cs="宋体"/>
          <w:kern w:val="0"/>
          <w:sz w:val="28"/>
          <w:szCs w:val="28"/>
        </w:rPr>
        <w:t>2.《普通高校本科专业目录（2012年）》</w:t>
      </w:r>
    </w:p>
    <w:p>
      <w:pPr>
        <w:widowControl/>
        <w:spacing w:line="560" w:lineRule="exact"/>
        <w:ind w:firstLine="708" w:firstLineChars="253"/>
        <w:jc w:val="left"/>
        <w:rPr>
          <w:rFonts w:hint="eastAsia" w:ascii="仿宋_GB2312" w:hAnsi="微软雅黑" w:eastAsia="仿宋_GB2312" w:cs="宋体"/>
          <w:kern w:val="0"/>
          <w:sz w:val="28"/>
          <w:szCs w:val="28"/>
        </w:rPr>
      </w:pPr>
      <w:r>
        <w:rPr>
          <w:rFonts w:hint="eastAsia" w:ascii="仿宋_GB2312" w:hAnsi="微软雅黑" w:eastAsia="仿宋_GB2312" w:cs="宋体"/>
          <w:kern w:val="0"/>
          <w:sz w:val="28"/>
          <w:szCs w:val="28"/>
          <w:lang w:val="en-US" w:eastAsia="zh-CN"/>
        </w:rPr>
        <w:t>3.</w:t>
      </w:r>
      <w:r>
        <w:rPr>
          <w:rFonts w:hint="eastAsia" w:ascii="仿宋_GB2312" w:hAnsi="微软雅黑" w:eastAsia="仿宋_GB2312" w:cs="宋体"/>
          <w:kern w:val="0"/>
          <w:sz w:val="28"/>
          <w:szCs w:val="28"/>
        </w:rPr>
        <w:t>《普通高等学校本科专业目录新旧专业对照表》</w:t>
      </w:r>
    </w:p>
    <w:p>
      <w:pPr>
        <w:widowControl/>
        <w:spacing w:line="560" w:lineRule="exact"/>
        <w:ind w:left="1155" w:leftChars="350" w:hanging="420" w:hangingChars="150"/>
        <w:jc w:val="left"/>
        <w:rPr>
          <w:rFonts w:ascii="仿宋_GB2312" w:hAnsi="微软雅黑" w:eastAsia="仿宋_GB2312" w:cs="宋体"/>
          <w:kern w:val="0"/>
          <w:sz w:val="28"/>
          <w:szCs w:val="28"/>
        </w:rPr>
      </w:pPr>
      <w:r>
        <w:rPr>
          <w:rFonts w:hint="eastAsia" w:ascii="仿宋_GB2312" w:hAnsi="微软雅黑" w:eastAsia="仿宋_GB2312" w:cs="宋体"/>
          <w:kern w:val="0"/>
          <w:sz w:val="28"/>
          <w:szCs w:val="28"/>
          <w:lang w:val="en-US" w:eastAsia="zh-CN"/>
        </w:rPr>
        <w:t>4</w:t>
      </w:r>
      <w:r>
        <w:rPr>
          <w:rFonts w:hint="eastAsia" w:ascii="仿宋_GB2312" w:hAnsi="微软雅黑" w:eastAsia="仿宋_GB2312" w:cs="宋体"/>
          <w:kern w:val="0"/>
          <w:sz w:val="28"/>
          <w:szCs w:val="28"/>
        </w:rPr>
        <w:t>.</w:t>
      </w:r>
      <w:r>
        <w:rPr>
          <w:rFonts w:hint="eastAsia"/>
        </w:rPr>
        <w:t xml:space="preserve"> 《</w:t>
      </w:r>
      <w:r>
        <w:rPr>
          <w:rFonts w:hint="eastAsia" w:ascii="仿宋_GB2312" w:hAnsi="微软雅黑" w:eastAsia="仿宋_GB2312" w:cs="宋体"/>
          <w:kern w:val="0"/>
          <w:sz w:val="28"/>
          <w:szCs w:val="28"/>
        </w:rPr>
        <w:t>（硕士、博士）学位授予和人才培养学科目录（</w:t>
      </w:r>
      <w:r>
        <w:rPr>
          <w:rFonts w:ascii="仿宋_GB2312" w:hAnsi="微软雅黑" w:eastAsia="仿宋_GB2312" w:cs="宋体"/>
          <w:kern w:val="0"/>
          <w:sz w:val="28"/>
          <w:szCs w:val="28"/>
        </w:rPr>
        <w:t>2011年）</w:t>
      </w:r>
      <w:r>
        <w:rPr>
          <w:rFonts w:hint="eastAsia" w:ascii="仿宋_GB2312" w:hAnsi="微软雅黑" w:eastAsia="仿宋_GB2312" w:cs="宋体"/>
          <w:kern w:val="0"/>
          <w:sz w:val="28"/>
          <w:szCs w:val="28"/>
        </w:rPr>
        <w:t>》</w:t>
      </w:r>
    </w:p>
    <w:p>
      <w:pPr>
        <w:widowControl/>
        <w:spacing w:line="560" w:lineRule="exact"/>
        <w:ind w:left="1155" w:leftChars="350" w:hanging="420" w:hangingChars="150"/>
        <w:rPr>
          <w:rFonts w:ascii="仿宋_GB2312" w:hAnsi="微软雅黑" w:eastAsia="仿宋_GB2312" w:cs="宋体"/>
          <w:kern w:val="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77EE07"/>
    <w:multiLevelType w:val="singleLevel"/>
    <w:tmpl w:val="5877EE0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CFA"/>
    <w:rsid w:val="000462B3"/>
    <w:rsid w:val="00070395"/>
    <w:rsid w:val="00092EBE"/>
    <w:rsid w:val="001264F0"/>
    <w:rsid w:val="00150F45"/>
    <w:rsid w:val="0015546F"/>
    <w:rsid w:val="00196669"/>
    <w:rsid w:val="00216873"/>
    <w:rsid w:val="002C375C"/>
    <w:rsid w:val="00356CFA"/>
    <w:rsid w:val="003C2413"/>
    <w:rsid w:val="00455DCE"/>
    <w:rsid w:val="0050191A"/>
    <w:rsid w:val="00521EF9"/>
    <w:rsid w:val="0055596B"/>
    <w:rsid w:val="00562286"/>
    <w:rsid w:val="005829AA"/>
    <w:rsid w:val="00593E83"/>
    <w:rsid w:val="005B73F9"/>
    <w:rsid w:val="006306D9"/>
    <w:rsid w:val="00662E82"/>
    <w:rsid w:val="006F2F6A"/>
    <w:rsid w:val="0071281F"/>
    <w:rsid w:val="00722D67"/>
    <w:rsid w:val="00754064"/>
    <w:rsid w:val="007625F7"/>
    <w:rsid w:val="00795EDF"/>
    <w:rsid w:val="00804FB2"/>
    <w:rsid w:val="00822A92"/>
    <w:rsid w:val="008231D8"/>
    <w:rsid w:val="00825F44"/>
    <w:rsid w:val="008507C8"/>
    <w:rsid w:val="0085194E"/>
    <w:rsid w:val="00920D83"/>
    <w:rsid w:val="009515FB"/>
    <w:rsid w:val="0095348F"/>
    <w:rsid w:val="00962766"/>
    <w:rsid w:val="009C75FD"/>
    <w:rsid w:val="009E043E"/>
    <w:rsid w:val="009F0031"/>
    <w:rsid w:val="00A0520C"/>
    <w:rsid w:val="00A14016"/>
    <w:rsid w:val="00A87EFC"/>
    <w:rsid w:val="00AF0726"/>
    <w:rsid w:val="00B83A30"/>
    <w:rsid w:val="00B9735F"/>
    <w:rsid w:val="00BC6FA1"/>
    <w:rsid w:val="00C701F9"/>
    <w:rsid w:val="00C92D3E"/>
    <w:rsid w:val="00C9671B"/>
    <w:rsid w:val="00D0705D"/>
    <w:rsid w:val="00DB0EAB"/>
    <w:rsid w:val="00DC58EF"/>
    <w:rsid w:val="00E11613"/>
    <w:rsid w:val="00E1763C"/>
    <w:rsid w:val="00E476E2"/>
    <w:rsid w:val="00F01D6F"/>
    <w:rsid w:val="00F40542"/>
    <w:rsid w:val="00F80A25"/>
    <w:rsid w:val="00FC7A2A"/>
    <w:rsid w:val="01D04EFC"/>
    <w:rsid w:val="3BC43D26"/>
    <w:rsid w:val="558C5214"/>
    <w:rsid w:val="69515C21"/>
    <w:rsid w:val="728B01D9"/>
    <w:rsid w:val="7B4F42AC"/>
    <w:rsid w:val="7E253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Emphasis"/>
    <w:basedOn w:val="6"/>
    <w:qFormat/>
    <w:uiPriority w:val="20"/>
  </w:style>
  <w:style w:type="character" w:styleId="8">
    <w:name w:val="Hyperlink"/>
    <w:basedOn w:val="6"/>
    <w:semiHidden/>
    <w:unhideWhenUsed/>
    <w:qFormat/>
    <w:uiPriority w:val="99"/>
    <w:rPr>
      <w:color w:val="FFFFFF"/>
      <w:u w:val="none"/>
    </w:rPr>
  </w:style>
  <w:style w:type="character" w:customStyle="1" w:styleId="9">
    <w:name w:val="fenx"/>
    <w:basedOn w:val="6"/>
    <w:qFormat/>
    <w:uiPriority w:val="0"/>
  </w:style>
  <w:style w:type="character" w:customStyle="1" w:styleId="10">
    <w:name w:val="页眉 字符"/>
    <w:basedOn w:val="6"/>
    <w:link w:val="3"/>
    <w:qFormat/>
    <w:uiPriority w:val="99"/>
    <w:rPr>
      <w:sz w:val="18"/>
      <w:szCs w:val="18"/>
    </w:rPr>
  </w:style>
  <w:style w:type="character" w:customStyle="1" w:styleId="11">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155</Words>
  <Characters>887</Characters>
  <Lines>7</Lines>
  <Paragraphs>2</Paragraphs>
  <TotalTime>2</TotalTime>
  <ScaleCrop>false</ScaleCrop>
  <LinksUpToDate>false</LinksUpToDate>
  <CharactersWithSpaces>1040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2017-11-21T06:39:00Z</dcterms:created>
  <dc:creator>Administrator</dc:creator>
  <cp:lastModifiedBy>Administrator</cp:lastModifiedBy>
  <cp:lastPrinted>2019-09-04T07:11:00Z</cp:lastPrinted>
  <dcterms:modified xsi:type="dcterms:W3CDTF">2021-03-23T02:38:52Z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